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F" w:rsidRPr="00624A21" w:rsidRDefault="0069628F" w:rsidP="0069628F">
      <w:r w:rsidRPr="00624A21">
        <w:t xml:space="preserve">Załącznik nr </w:t>
      </w:r>
      <w:r w:rsidR="00EC48F6">
        <w:t>2</w:t>
      </w:r>
      <w:r w:rsidR="00861FC9">
        <w:t xml:space="preserve"> – </w:t>
      </w:r>
      <w:r w:rsidRPr="00624A21">
        <w:t>Karta oceny formalnej wniosku o dofinansowanie projektu konkursowego w ramach RPOWP</w:t>
      </w:r>
    </w:p>
    <w:p w:rsidR="0069628F" w:rsidRPr="00624A21" w:rsidRDefault="0069628F" w:rsidP="0069628F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DDA1548" wp14:editId="026F1319">
            <wp:extent cx="6762613" cy="993341"/>
            <wp:effectExtent l="0" t="0" r="635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24A2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RPOWP</w:t>
      </w:r>
    </w:p>
    <w:p w:rsidR="0069628F" w:rsidRPr="00624A21" w:rsidRDefault="0069628F" w:rsidP="0069628F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INSTYTUCJA ORGANIZUJĄCA KONKURS: Wojewódzki Urząd Pracy w Białymstoku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KONKURSU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:………………………………………………………………………………………………………………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DATA WPŁYWU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KANCELARYJNY WNIOSKU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:...........................................................................................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SUMA KONTROLNA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..........................................................................................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TYTUŁ PROJEKTU: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NAZWA WNIOSKODAWCY: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….</w:t>
      </w:r>
    </w:p>
    <w:p w:rsidR="0069628F" w:rsidRPr="00624A21" w:rsidRDefault="00320E68" w:rsidP="00320E6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576"/>
        <w:gridCol w:w="3204"/>
        <w:gridCol w:w="567"/>
        <w:gridCol w:w="851"/>
        <w:gridCol w:w="850"/>
        <w:gridCol w:w="1544"/>
      </w:tblGrid>
      <w:tr w:rsidR="0069628F" w:rsidRPr="00624A21" w:rsidTr="00861FC9">
        <w:trPr>
          <w:trHeight w:val="708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D81F31">
              <w:rPr>
                <w:rFonts w:ascii="Calibri" w:eastAsia="Calibri" w:hAnsi="Calibri" w:cs="Times New Roman"/>
                <w:b/>
                <w:szCs w:val="18"/>
                <w:lang w:eastAsia="pl-PL"/>
              </w:rPr>
              <w:lastRenderedPageBreak/>
              <w:t>Czy wniosek posiada braki formalne lub oczywiste omyłki niedostrzeżone na etapie weryfikacji wstępnej?</w:t>
            </w:r>
          </w:p>
        </w:tc>
      </w:tr>
      <w:tr w:rsidR="0069628F" w:rsidRPr="00624A21" w:rsidTr="00861FC9">
        <w:trPr>
          <w:trHeight w:val="690"/>
          <w:jc w:val="center"/>
        </w:trPr>
        <w:tc>
          <w:tcPr>
            <w:tcW w:w="7016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861FC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2C95">
              <w:rPr>
                <w:sz w:val="20"/>
                <w:szCs w:val="20"/>
              </w:rPr>
            </w:r>
            <w:r w:rsidR="00552C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TAK– SKIEROWAĆ W</w:t>
            </w:r>
            <w:r w:rsidR="00861FC9">
              <w:rPr>
                <w:sz w:val="20"/>
                <w:szCs w:val="20"/>
              </w:rPr>
              <w:t xml:space="preserve">NIOSEK DO WERYFIKACJI WSTĘPNEJ </w:t>
            </w: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861FC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52C95">
              <w:rPr>
                <w:sz w:val="20"/>
                <w:szCs w:val="20"/>
              </w:rPr>
            </w:r>
            <w:r w:rsidR="00552C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</w:tc>
      </w:tr>
      <w:tr w:rsidR="0069628F" w:rsidRPr="00624A21" w:rsidTr="00861FC9">
        <w:trPr>
          <w:trHeight w:val="81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KRYTERIA FORMALNE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123D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Uzasadnienie oceny spełniania kryterium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69628F" w:rsidRPr="00624A21" w:rsidTr="00123D4D">
        <w:trPr>
          <w:trHeight w:val="725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9E295B" w:rsidP="001E7EB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F3634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F3634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Wniosek złożono we właściwej wersji generatora wniosków aplikacyjnych</w:t>
            </w:r>
            <w:r w:rsidRPr="001E7EBD" w:rsidDel="00FA2AEE">
              <w:rPr>
                <w:rFonts w:cs="Times New Roman"/>
                <w:sz w:val="20"/>
                <w:szCs w:val="20"/>
              </w:rPr>
              <w:t xml:space="preserve"> </w:t>
            </w:r>
            <w:r w:rsidRPr="001E7EBD">
              <w:rPr>
                <w:rFonts w:cs="Times New Roman"/>
                <w:sz w:val="20"/>
                <w:szCs w:val="20"/>
              </w:rPr>
              <w:t>wskazanej w regulaminie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F3634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Okres realizacji projektu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23D4D">
        <w:trPr>
          <w:trHeight w:val="930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Projekty o wartości nieprzekraczającej wyrażonej w PLN równowartości kwoty 100 000 EUR wkładu publicznego</w:t>
            </w:r>
            <w:r w:rsidRPr="001E7EBD"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  <w:r w:rsidRPr="001E7EBD">
              <w:rPr>
                <w:rFonts w:cs="Times New Roman"/>
                <w:sz w:val="20"/>
                <w:szCs w:val="20"/>
              </w:rPr>
              <w:t xml:space="preserve"> są rozliczane uproszczonymi metodami, o których mowa w </w:t>
            </w:r>
            <w:r w:rsidRPr="001E7EBD">
              <w:rPr>
                <w:rFonts w:cs="Times New Roman"/>
                <w:i/>
                <w:sz w:val="20"/>
                <w:szCs w:val="20"/>
              </w:rPr>
              <w:t xml:space="preserve">Wytycznych w zakresie kwalifikowalności wydatków </w:t>
            </w:r>
            <w:r w:rsidR="001E7EBD">
              <w:rPr>
                <w:rFonts w:cs="Times New Roman"/>
                <w:i/>
                <w:sz w:val="20"/>
                <w:szCs w:val="20"/>
              </w:rPr>
              <w:br/>
            </w:r>
            <w:r w:rsidRPr="001E7EBD">
              <w:rPr>
                <w:rFonts w:cs="Times New Roman"/>
                <w:i/>
                <w:sz w:val="20"/>
                <w:szCs w:val="20"/>
              </w:rPr>
              <w:t xml:space="preserve">w ramach Europejskiego Funduszu Rozwoju Regionalnego, Europejskiego Funduszu Społecznego oraz Funduszu Spójności na lata 2014-2020, </w:t>
            </w:r>
            <w:r w:rsidRPr="001E7EBD">
              <w:rPr>
                <w:rFonts w:cs="Times New Roman"/>
                <w:sz w:val="20"/>
                <w:szCs w:val="20"/>
              </w:rPr>
              <w:t>a projekty o wartości przekraczającej 100 000 EUR wkładu publicznego</w:t>
            </w:r>
            <w:r w:rsidRPr="001E7EBD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  <w:r w:rsidRPr="001E7EBD">
              <w:rPr>
                <w:rFonts w:cs="Times New Roman"/>
                <w:sz w:val="20"/>
                <w:szCs w:val="20"/>
              </w:rPr>
              <w:t xml:space="preserve">  - na podstawie rzeczywiście poniesionych wydatków.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F3634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Udział wkładu własnego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23D4D">
        <w:trPr>
          <w:trHeight w:val="390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kern w:val="24"/>
                <w:sz w:val="20"/>
                <w:szCs w:val="20"/>
              </w:rPr>
              <w:t>Poziom kosztów pośrednich rozliczanych ryczałtem jest zgodny z Wytycznymi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D071D8">
        <w:trPr>
          <w:trHeight w:val="1499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F3634" w:rsidRPr="001E7EBD" w:rsidRDefault="006F4311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 xml:space="preserve">Wnioskodawca oraz partnerzy (o ile dotyczy) nie podlegają wykluczeniu z możliwości otrzymania dofinansowania, </w:t>
            </w:r>
            <w:r w:rsidR="001E7EBD">
              <w:rPr>
                <w:rFonts w:cs="Times New Roman"/>
                <w:sz w:val="20"/>
                <w:szCs w:val="20"/>
              </w:rPr>
              <w:br/>
              <w:t>w</w:t>
            </w:r>
            <w:r w:rsidRPr="001E7EBD">
              <w:rPr>
                <w:rFonts w:cs="Times New Roman"/>
                <w:sz w:val="20"/>
                <w:szCs w:val="20"/>
              </w:rPr>
              <w:t xml:space="preserve"> tym wykluczeniu, o którym mowa w:</w:t>
            </w:r>
            <w:bookmarkStart w:id="0" w:name="_GoBack"/>
            <w:bookmarkEnd w:id="0"/>
          </w:p>
          <w:p w:rsidR="006F4311" w:rsidRPr="001E7EBD" w:rsidRDefault="006F4311" w:rsidP="001E7E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207 ust. 4 ustawy z dnia 27 sierpnia 2009 r. o finansach publicznych;</w:t>
            </w:r>
          </w:p>
          <w:p w:rsidR="001F3634" w:rsidRPr="001E7EBD" w:rsidRDefault="006F4311" w:rsidP="001E7E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 U. poz. 769);</w:t>
            </w:r>
          </w:p>
          <w:p w:rsidR="0069628F" w:rsidRPr="001E7EBD" w:rsidRDefault="006F4311" w:rsidP="001E7E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1E7EBD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Pr="001E7EBD">
              <w:rPr>
                <w:rFonts w:cs="Times New Roman"/>
                <w:sz w:val="20"/>
                <w:szCs w:val="20"/>
              </w:rPr>
              <w:t>. Dz. U. 2014 r. poz. 1417).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D071D8">
        <w:trPr>
          <w:trHeight w:val="556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1E7EBD" w:rsidRDefault="006F4311" w:rsidP="001E7EBD">
            <w:pPr>
              <w:spacing w:after="0" w:line="240" w:lineRule="auto"/>
              <w:jc w:val="both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1E7EBD">
              <w:rPr>
                <w:rFonts w:cs="Times New Roman"/>
                <w:sz w:val="20"/>
                <w:szCs w:val="20"/>
              </w:rPr>
              <w:t>Wnioskodawca zgodnie z Regionalnym Programem Operacyjnym Województwa Podlaskiego na lata 2014-2020 oraz ze Szczegółowym Opisem Osi Priorytetowych RPOWP</w:t>
            </w:r>
            <w:r w:rsidRPr="001E7EBD" w:rsidDel="00547A7F">
              <w:rPr>
                <w:rFonts w:cs="Times New Roman"/>
                <w:sz w:val="20"/>
                <w:szCs w:val="20"/>
              </w:rPr>
              <w:t xml:space="preserve"> </w:t>
            </w:r>
            <w:r w:rsidRPr="001E7EBD">
              <w:rPr>
                <w:rFonts w:cs="Times New Roman"/>
                <w:sz w:val="20"/>
                <w:szCs w:val="20"/>
              </w:rPr>
              <w:t>jest podmiotem uprawnionym do ubiegania się o dofinansowanie w ramach właściwego Działania/Poddziałania RPOWP.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9628F" w:rsidRPr="001E7EB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4311" w:rsidRPr="00624A21" w:rsidTr="00D071D8">
        <w:trPr>
          <w:trHeight w:val="1233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F4311" w:rsidRPr="00624A21" w:rsidRDefault="006F4311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F3634" w:rsidRPr="001E7EBD" w:rsidRDefault="006F4311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 przypadku projektu partnerskiego spełnione zostały wymogi dotyczące:</w:t>
            </w:r>
          </w:p>
          <w:p w:rsidR="006F4311" w:rsidRPr="001E7EBD" w:rsidRDefault="006F4311" w:rsidP="001E7E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6F4311" w:rsidRPr="001E7EBD" w:rsidRDefault="006F4311" w:rsidP="001E7E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355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braku powiązań, o których mowa w art. 33 ust.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4311" w:rsidRPr="00624A21" w:rsidTr="00D071D8">
        <w:trPr>
          <w:trHeight w:val="756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6F4311" w:rsidRPr="00624A21" w:rsidRDefault="006F4311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F4311" w:rsidRPr="001E7EBD" w:rsidRDefault="006F4311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EBD">
              <w:rPr>
                <w:rFonts w:cs="Times New Roman"/>
                <w:sz w:val="20"/>
                <w:szCs w:val="20"/>
              </w:rPr>
              <w:t>Wnioskodawca oraz partnerzy krajowi</w:t>
            </w:r>
            <w:r w:rsidRPr="001E7EBD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5"/>
            </w:r>
            <w:r w:rsidRPr="001E7EBD">
              <w:rPr>
                <w:rFonts w:cs="Times New Roman"/>
                <w:sz w:val="20"/>
                <w:szCs w:val="20"/>
              </w:rPr>
              <w:t xml:space="preserve"> (o ile dotyczy), ponoszący wydatki w danym projekcie,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</w:t>
            </w:r>
            <w:r w:rsidRPr="001E7EBD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6"/>
            </w:r>
            <w:r w:rsidRPr="001E7E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6F4311" w:rsidRPr="001E7EBD" w:rsidRDefault="006F4311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624A21" w:rsidTr="001F3634">
        <w:trPr>
          <w:trHeight w:val="53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628F" w:rsidRPr="00624A21" w:rsidRDefault="0069628F" w:rsidP="00D81F31">
            <w:pPr>
              <w:spacing w:after="60" w:line="240" w:lineRule="auto"/>
              <w:rPr>
                <w:rFonts w:ascii="Calibri" w:eastAsia="Calibri" w:hAnsi="Calibri" w:cs="Times New Roman"/>
                <w:sz w:val="2"/>
                <w:szCs w:val="2"/>
                <w:lang w:eastAsia="pl-PL"/>
              </w:rPr>
            </w:pPr>
          </w:p>
        </w:tc>
      </w:tr>
      <w:tr w:rsidR="0069628F" w:rsidRPr="00624A21" w:rsidTr="001F3634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780" w:type="dxa"/>
            <w:gridSpan w:val="2"/>
            <w:shd w:val="clear" w:color="000000" w:fill="D9D9D9"/>
            <w:vAlign w:val="center"/>
          </w:tcPr>
          <w:p w:rsidR="0069628F" w:rsidRPr="00624A21" w:rsidRDefault="0069628F" w:rsidP="00990B5E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DOPUSZCZAJĄCE SZCZEGÓLNE</w:t>
            </w:r>
            <w:r w:rsidRPr="00624A2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="00272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NIE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9628F" w:rsidRPr="00624A21" w:rsidRDefault="0069628F" w:rsidP="009558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Uzasadnienie oceny spełniania kryterium</w:t>
            </w:r>
            <w:r w:rsidRPr="00B55450">
              <w:rPr>
                <w:rStyle w:val="Odwoanieprzypisudolnego"/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footnoteReference w:customMarkFollows="1" w:id="9"/>
              <w:sym w:font="Symbol" w:char="F02A"/>
            </w:r>
          </w:p>
        </w:tc>
      </w:tr>
      <w:tr w:rsidR="0069628F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69628F" w:rsidRPr="00123D4D" w:rsidRDefault="00DF74E3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955859" w:rsidRPr="00123D4D" w:rsidRDefault="00955859" w:rsidP="00D071D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 xml:space="preserve">Uczestnikami projektu są osoby od 30 roku życia pozostające bez zatrudnienia [osoby bezrobotne, w tym zarejestrowane w powiatowym urzędzie pracy (należące do I </w:t>
            </w:r>
            <w:proofErr w:type="spellStart"/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i</w:t>
            </w:r>
            <w:proofErr w:type="spellEnd"/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 xml:space="preserve"> II profilu pomocy), bierne zawodowo], należące co najmniej do jednej z poniższych grup:</w:t>
            </w:r>
          </w:p>
          <w:p w:rsidR="00955859" w:rsidRPr="00123D4D" w:rsidRDefault="00955859" w:rsidP="00D071D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lastRenderedPageBreak/>
              <w:t>osoby powyżej 50 roku życia,</w:t>
            </w:r>
          </w:p>
          <w:p w:rsidR="00955859" w:rsidRPr="00123D4D" w:rsidRDefault="00955859" w:rsidP="00D071D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>kobiety,</w:t>
            </w:r>
          </w:p>
          <w:p w:rsidR="00955859" w:rsidRPr="00123D4D" w:rsidRDefault="00955859" w:rsidP="00D071D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>osoby z niepełnosprawnościami,</w:t>
            </w:r>
          </w:p>
          <w:p w:rsidR="00955859" w:rsidRPr="00123D4D" w:rsidRDefault="00955859" w:rsidP="00D071D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>osoby długotrwale bezrobotne,</w:t>
            </w:r>
          </w:p>
          <w:p w:rsidR="0069628F" w:rsidRPr="00123D4D" w:rsidRDefault="00955859" w:rsidP="00D071D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>osoby o niskich kwalifikacjach.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628F" w:rsidRPr="00123D4D" w:rsidRDefault="0069628F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628F" w:rsidRPr="00123D4D" w:rsidRDefault="0069628F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628F" w:rsidRPr="00123D4D" w:rsidRDefault="0069628F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9628F" w:rsidRPr="00123D4D" w:rsidRDefault="0069628F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DF74E3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DF74E3" w:rsidRPr="00123D4D" w:rsidRDefault="00272648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lastRenderedPageBreak/>
              <w:t>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DF74E3" w:rsidRPr="00123D4D" w:rsidRDefault="001E7EBD" w:rsidP="00D071D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Grupę docelową projektu w co najmniej 50% stanowią osoby długotrwale bezrobotne, rozumiane jako osoby pozostające bez zatrudnienia nieprzerwanie ponad 12 miesięcy.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DF74E3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DF74E3" w:rsidRPr="00123D4D" w:rsidRDefault="00272648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DF74E3" w:rsidRPr="00123D4D" w:rsidRDefault="001E7EBD" w:rsidP="001E7EB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W ramach projektu do każdego uczestnika zostanie zastosowane wsparcie zgodne ze zidentyfikowanymi potrzebami wynikającymi z Indywidualnego Planu Działania.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DF74E3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DF74E3" w:rsidRPr="00123D4D" w:rsidRDefault="00272648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1E7EBD" w:rsidRPr="00123D4D" w:rsidRDefault="001E7EBD" w:rsidP="001E7EB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W ramach projektu zastosowane zostanie w odniesieniu do każdego uczestnika projektu wsparcie w formie pośrednictwa pracy i/lub poradnictwa zawodowego oraz jednocześnie w co najmniej jednej z niżej wymienionych form (kompleksowość wsparcia):</w:t>
            </w:r>
          </w:p>
          <w:p w:rsidR="001E7EBD" w:rsidRPr="00123D4D" w:rsidRDefault="001E7EBD" w:rsidP="001E7EBD">
            <w:pPr>
              <w:tabs>
                <w:tab w:val="left" w:pos="599"/>
              </w:tabs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−</w:t>
            </w: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ab/>
              <w:t>staże/praktyki zawodowe,</w:t>
            </w:r>
          </w:p>
          <w:p w:rsidR="001E7EBD" w:rsidRPr="00123D4D" w:rsidRDefault="001E7EBD" w:rsidP="001E7EBD">
            <w:pPr>
              <w:tabs>
                <w:tab w:val="left" w:pos="599"/>
              </w:tabs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−</w:t>
            </w: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ab/>
              <w:t>szkolenia prowadzące do podniesienia, uzupełnienia lub zmiany kwalifikacji zawodowych,</w:t>
            </w:r>
          </w:p>
          <w:p w:rsidR="00DF74E3" w:rsidRPr="00123D4D" w:rsidRDefault="001E7EBD" w:rsidP="001E7EBD">
            <w:pPr>
              <w:tabs>
                <w:tab w:val="left" w:pos="599"/>
              </w:tabs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>−</w:t>
            </w: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ab/>
              <w:t>subsydiowanie zatrudnienia.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DF74E3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DF74E3" w:rsidRPr="00123D4D" w:rsidRDefault="00272648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1E7EBD" w:rsidRPr="00123D4D" w:rsidRDefault="001E7EBD" w:rsidP="001E7EBD">
            <w:pPr>
              <w:spacing w:after="0" w:line="240" w:lineRule="auto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  <w:t xml:space="preserve">Projekt zakłada: </w:t>
            </w:r>
          </w:p>
          <w:p w:rsidR="001E7EBD" w:rsidRPr="00123D4D" w:rsidRDefault="001E7EBD" w:rsidP="001E7E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 xml:space="preserve">kryterium efektywności zatrudnieniowej dla osób z niepełnosprawnościami na poziomie co najmniej 33%, </w:t>
            </w:r>
          </w:p>
          <w:p w:rsidR="001E7EBD" w:rsidRPr="00123D4D" w:rsidRDefault="001E7EBD" w:rsidP="001E7E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 xml:space="preserve">kryterium efektywności zatrudnieniowej dla osób długotrwale bezrobotnych, rozumianych jako osoby pozostające bez zatrudnienia nieprzerwanie ponad 12 miesięcy na poziomie co najmniej 30%, </w:t>
            </w:r>
          </w:p>
          <w:p w:rsidR="001E7EBD" w:rsidRPr="00123D4D" w:rsidRDefault="001E7EBD" w:rsidP="001E7E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 xml:space="preserve">kryterium efektywności zatrudnieniowej dla osób po 50 roku życia na poziomie co najmniej 33%, </w:t>
            </w:r>
          </w:p>
          <w:p w:rsidR="001E7EBD" w:rsidRPr="00123D4D" w:rsidRDefault="001E7EBD" w:rsidP="001E7E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 xml:space="preserve">kryterium efektywności zatrudnieniowej dla osób o niskich kwalifikacjach, czyli dla osób posiadających wykształcenie na poziomie do ISCED 3 włącznie (do poziomu wykształcenia ponadgimnazjalnego włącznie) na poziomie co najmniej 38%, </w:t>
            </w:r>
          </w:p>
          <w:p w:rsidR="00DF74E3" w:rsidRPr="00123D4D" w:rsidRDefault="001E7EBD" w:rsidP="001E7E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hanging="355"/>
              <w:jc w:val="both"/>
              <w:rPr>
                <w:rFonts w:eastAsia="Calibri"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eastAsia="Calibri" w:cs="Times New Roman"/>
                <w:sz w:val="20"/>
                <w:szCs w:val="20"/>
                <w:u w:color="FFFFFF" w:themeColor="background1"/>
              </w:rPr>
              <w:t>kryterium efektywności zatrudnieniowej dla kobiet na poziomie co najmniej 39%.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DF74E3" w:rsidRPr="00123D4D" w:rsidRDefault="00DF74E3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272648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272648" w:rsidRPr="00123D4D" w:rsidRDefault="00272648" w:rsidP="00D81F31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272648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W przypadku gdy projekt zakłada wsparcie w zakresie podniesienia i/lub uzupełnienia kwalifikacji i kompetencji zawodowych (szkolenie zawodowe), musi ono odpowiadać na potrzeby pracodawcy, u którego uczestnik ten będzie odbywał staż/subsydiowane zatrudnienie i/lub zamierza podjąć zatrudnienie po zakończeniu udziału w projekcie.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2648" w:rsidRPr="00123D4D" w:rsidRDefault="00272648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72648" w:rsidRPr="00123D4D" w:rsidRDefault="00272648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72648" w:rsidRPr="00123D4D" w:rsidRDefault="00272648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72648" w:rsidRPr="00123D4D" w:rsidRDefault="00272648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FC3B48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FC3B48" w:rsidRPr="00123D4D" w:rsidRDefault="00955859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7</w:t>
            </w:r>
            <w:r w:rsidR="00FC3B48"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 xml:space="preserve">Projekt skierowany jest wyłącznie do osób zamieszkujących w rozumieniu Kodeksu Cywilnego powiat m. Suwałki, powiat suwalski, powiat augustowski, powiat sejneński, powiat grajewski oraz powiat moniecki, przy czym udział osób zamieszkujących powiat m. Suwałki wynosi co najwyżej 15%, natomiast udział osób zamieszkujących każdy </w:t>
            </w: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br/>
              <w:t>z pozostałych powiatów wynosi co najmniej 15% grupy docelowej projektu ogółem.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Kryterium odnosi się do wyodrębnionej alokacji w wysokości 25% planowanych środków ogółem na konkurs.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lub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Projekt skierowany jest wyłącznie do osób zamieszkujących w rozumieniu Kodeksu Cywilnego powiat m. Białystok, powiat białostocki oraz powiat sokólski, przy czym udział osób zamieszkujących powiat m. Białystok wynosi co najwyżej 15%, natomiast udział osób zamieszkujących każdy z pozostałych powiatów wynosi co najmniej 15% grupy docelowej projektu ogółem.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Kryterium odnosi się do wyodrębnionej alokacji w wysokości 40% planowanych środków ogółem na konkurs.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lastRenderedPageBreak/>
              <w:t xml:space="preserve">lub 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 xml:space="preserve">Projekt skierowany jest wyłącznie do osób zamieszkujących w rozumieniu Kodeksu Cywilnego powiat m. Łomża, powiat łomżyński, powiat kolneński oraz powiat zambrowski, przy czym udział osób zamieszkujących powiat m. Łomża wynosi co najwyżej 15%, natomiast udział osób zamieszkujących każdy z pozostałych powiatów wynosi co najmniej 15% grupy docelowej projektu ogółem. 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Kryterium odnosi się do wyodrębnionej alokacji w wysokości 20% planowanych środków ogółem na konkurs.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lub</w:t>
            </w:r>
          </w:p>
          <w:p w:rsidR="001E7EBD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Projekt skierowany jest wyłącznie do osób zamieszkujących w rozumieniu Kodeksu Cywilnego powiat bielski, powiat wysokomazowiecki, powiat hajnowski i powiat siemiatycki, przy czym udział osób zamieszkujących każdy z ww. powiatów stanowi co najmniej 15% grupy docelowej projektu ogółem.</w:t>
            </w:r>
          </w:p>
          <w:p w:rsidR="00FC3B48" w:rsidRPr="00123D4D" w:rsidRDefault="001E7EBD" w:rsidP="001E7E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Kryterium odnosi się do wyodrębnionej alokacji w wysokości 15% planowanych środków ogółem na konkurs.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3B48" w:rsidRPr="00123D4D" w:rsidRDefault="00FC3B48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3B48" w:rsidRPr="00123D4D" w:rsidRDefault="00FC3B48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3B48" w:rsidRPr="00123D4D" w:rsidRDefault="00FC3B48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FC3B48" w:rsidRPr="00123D4D" w:rsidRDefault="00FC3B48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990B5E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990B5E" w:rsidRPr="00123D4D" w:rsidRDefault="00955859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lastRenderedPageBreak/>
              <w:t>8</w:t>
            </w:r>
            <w:r w:rsidR="00990B5E"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990B5E" w:rsidRPr="00123D4D" w:rsidRDefault="00633682" w:rsidP="0063368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Projektodawca i/lub Partner w okresie 36 m-</w:t>
            </w:r>
            <w:proofErr w:type="spellStart"/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cy</w:t>
            </w:r>
            <w:proofErr w:type="spellEnd"/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 xml:space="preserve"> poprzedzających dzień złożenia wniosku o dofinansowanie realizował na obszarze subregionu objętego projektem działania w zakresie aktywizacji zawodowej osób pozostających bez zatrudnienia.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B5E" w:rsidRPr="00123D4D" w:rsidRDefault="00990B5E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0B5E" w:rsidRPr="00123D4D" w:rsidRDefault="00990B5E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0B5E" w:rsidRPr="00123D4D" w:rsidRDefault="00990B5E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990B5E" w:rsidRPr="00123D4D" w:rsidRDefault="00990B5E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2E1336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2E1336" w:rsidRPr="00123D4D" w:rsidRDefault="00955859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9</w:t>
            </w:r>
            <w:r w:rsidR="002E1336"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2E1336" w:rsidRPr="00123D4D" w:rsidRDefault="00123D4D" w:rsidP="001E7EBD">
            <w:pPr>
              <w:spacing w:after="0" w:line="240" w:lineRule="auto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Okres realizacji projektu jest nie dłuższy niż 18 miesięcy.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2E1336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2E1336" w:rsidRPr="00123D4D" w:rsidRDefault="00955859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10</w:t>
            </w:r>
            <w:r w:rsidR="002E1336"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2E1336" w:rsidRPr="00123D4D" w:rsidRDefault="00123D4D" w:rsidP="001E7EBD">
            <w:pPr>
              <w:spacing w:after="0" w:line="240" w:lineRule="auto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Projektodawca składa nie więcej niż 2 wnioski o dofinansowanie projektu w ramach danego konkursu.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2E1336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2E1336" w:rsidRPr="00123D4D" w:rsidRDefault="00955859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11</w:t>
            </w:r>
            <w:r w:rsidR="002E1336"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2E1336" w:rsidRPr="00123D4D" w:rsidRDefault="00123D4D" w:rsidP="00123D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podlaskiego </w:t>
            </w: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br/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E1336" w:rsidRPr="00123D4D" w:rsidRDefault="002E1336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  <w:tr w:rsidR="00123D4D" w:rsidRPr="00624A21" w:rsidTr="00123D4D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123D4D" w:rsidRPr="00123D4D" w:rsidRDefault="00123D4D" w:rsidP="00800C2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</w:pPr>
            <w:r w:rsidRPr="00123D4D">
              <w:rPr>
                <w:rFonts w:ascii="Calibri" w:eastAsia="Calibri" w:hAnsi="Calibri" w:cs="Calibri"/>
                <w:sz w:val="18"/>
                <w:szCs w:val="18"/>
                <w:u w:color="FFFFFF" w:themeColor="background1"/>
                <w:lang w:eastAsia="pl-PL"/>
              </w:rPr>
              <w:t>12.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123D4D" w:rsidRPr="00123D4D" w:rsidRDefault="00123D4D" w:rsidP="00123D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u w:color="FFFFFF" w:themeColor="background1"/>
              </w:rPr>
            </w:pPr>
            <w:r w:rsidRPr="00123D4D">
              <w:rPr>
                <w:rFonts w:cs="Times New Roman"/>
                <w:sz w:val="20"/>
                <w:szCs w:val="20"/>
                <w:u w:color="FFFFFF" w:themeColor="background1"/>
              </w:rPr>
              <w:t>Co najmniej 30% uczestników szkoleń uzyska kwalifikacje, co zostanie potwierdzone certyfikatem, świadectwem lub innym równoważnym dokumentem (kryterium dotyczy projektu realizującego wsparcie szkoleniowe).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23D4D" w:rsidRPr="00123D4D" w:rsidRDefault="00123D4D" w:rsidP="001E7EBD">
            <w:pPr>
              <w:spacing w:after="0" w:line="240" w:lineRule="auto"/>
              <w:jc w:val="center"/>
              <w:rPr>
                <w:rFonts w:eastAsia="Calibri" w:cs="Calibri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23D4D" w:rsidRPr="00123D4D" w:rsidRDefault="00123D4D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3D4D" w:rsidRPr="00123D4D" w:rsidRDefault="00123D4D" w:rsidP="001E7EBD">
            <w:pPr>
              <w:spacing w:after="0" w:line="240" w:lineRule="auto"/>
              <w:jc w:val="center"/>
              <w:rPr>
                <w:rFonts w:eastAsia="Calibri" w:cs="Arial"/>
                <w:kern w:val="24"/>
                <w:sz w:val="20"/>
                <w:szCs w:val="20"/>
                <w:u w:color="FFFFFF" w:themeColor="background1"/>
                <w:lang w:eastAsia="pl-PL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123D4D" w:rsidRPr="00123D4D" w:rsidRDefault="00123D4D" w:rsidP="001E7EBD">
            <w:pPr>
              <w:spacing w:before="60" w:after="60" w:line="240" w:lineRule="auto"/>
              <w:jc w:val="center"/>
              <w:rPr>
                <w:rFonts w:eastAsia="Calibri" w:cs="Times New Roman"/>
                <w:sz w:val="20"/>
                <w:szCs w:val="20"/>
                <w:u w:color="FFFFFF" w:themeColor="background1"/>
                <w:lang w:eastAsia="pl-PL"/>
              </w:rPr>
            </w:pPr>
          </w:p>
        </w:tc>
      </w:tr>
    </w:tbl>
    <w:p w:rsidR="00990B5E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B5E" w:rsidRPr="00624A21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22"/>
        <w:gridCol w:w="992"/>
        <w:gridCol w:w="851"/>
        <w:gridCol w:w="1985"/>
      </w:tblGrid>
      <w:tr w:rsidR="0069628F" w:rsidRPr="00624A21" w:rsidTr="00D81F31">
        <w:trPr>
          <w:trHeight w:val="543"/>
          <w:jc w:val="center"/>
        </w:trPr>
        <w:tc>
          <w:tcPr>
            <w:tcW w:w="1022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  <w:t>Wynik oceny formalnej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624A21" w:rsidRDefault="0069628F" w:rsidP="00D81F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69628F" w:rsidRPr="00624A21" w:rsidTr="00D81F31">
        <w:trPr>
          <w:trHeight w:val="574"/>
          <w:jc w:val="center"/>
        </w:trPr>
        <w:tc>
          <w:tcPr>
            <w:tcW w:w="10222" w:type="dxa"/>
            <w:shd w:val="clear" w:color="000000" w:fill="FFFFFF"/>
            <w:vAlign w:val="center"/>
          </w:tcPr>
          <w:p w:rsidR="0069628F" w:rsidRPr="00123D4D" w:rsidRDefault="0069628F" w:rsidP="004C16FA">
            <w:pPr>
              <w:spacing w:after="0" w:line="240" w:lineRule="exact"/>
              <w:jc w:val="both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23D4D">
              <w:rPr>
                <w:rFonts w:eastAsia="Calibri" w:cs="Times New Roman"/>
                <w:sz w:val="20"/>
                <w:szCs w:val="20"/>
                <w:lang w:eastAsia="pl-PL"/>
              </w:rPr>
              <w:t>Czy wniosek spełnia wszystkie kryteria formalne i wszystkie dopuszczające szczególne i może zostać przekazany do oceny merytorycznej?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123D4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123D4D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69628F" w:rsidRPr="00123D4D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69628F" w:rsidRPr="00123D4D" w:rsidRDefault="0069628F" w:rsidP="0069628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123D4D">
        <w:rPr>
          <w:rFonts w:eastAsia="Calibri" w:cs="Times New Roman"/>
          <w:b/>
          <w:sz w:val="20"/>
          <w:szCs w:val="20"/>
          <w:lang w:eastAsia="pl-PL"/>
        </w:rPr>
        <w:t>Sporządzone przez:</w:t>
      </w:r>
      <w:r w:rsidRPr="00123D4D">
        <w:rPr>
          <w:rFonts w:eastAsia="Calibri" w:cs="Times New Roman"/>
          <w:sz w:val="20"/>
          <w:szCs w:val="20"/>
          <w:lang w:eastAsia="pl-PL"/>
        </w:rPr>
        <w:t xml:space="preserve"> </w:t>
      </w: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123D4D">
        <w:rPr>
          <w:rFonts w:eastAsia="Calibri" w:cs="Times New Roman"/>
          <w:sz w:val="20"/>
          <w:szCs w:val="20"/>
          <w:lang w:eastAsia="pl-PL"/>
        </w:rPr>
        <w:t>Imię i nazwisko:</w:t>
      </w:r>
    </w:p>
    <w:p w:rsidR="0069628F" w:rsidRPr="00123D4D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123D4D">
        <w:rPr>
          <w:rFonts w:eastAsia="Calibri" w:cs="Times New Roman"/>
          <w:sz w:val="20"/>
          <w:szCs w:val="20"/>
          <w:lang w:eastAsia="pl-PL"/>
        </w:rPr>
        <w:t>Data:</w:t>
      </w:r>
    </w:p>
    <w:p w:rsidR="00125801" w:rsidRPr="00123D4D" w:rsidRDefault="0069628F" w:rsidP="00123D4D">
      <w:pPr>
        <w:tabs>
          <w:tab w:val="left" w:pos="9072"/>
        </w:tabs>
        <w:spacing w:before="20" w:after="20" w:line="240" w:lineRule="exact"/>
        <w:jc w:val="both"/>
      </w:pPr>
      <w:r w:rsidRPr="00123D4D">
        <w:rPr>
          <w:rFonts w:eastAsia="Calibri" w:cs="Times New Roman"/>
          <w:sz w:val="20"/>
          <w:szCs w:val="20"/>
          <w:lang w:eastAsia="pl-PL"/>
        </w:rPr>
        <w:t>Podpis:</w:t>
      </w:r>
    </w:p>
    <w:sectPr w:rsidR="00125801" w:rsidRPr="00123D4D" w:rsidSect="00D071D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95" w:rsidRDefault="00552C95" w:rsidP="0069628F">
      <w:pPr>
        <w:spacing w:after="0" w:line="240" w:lineRule="auto"/>
      </w:pPr>
      <w:r>
        <w:separator/>
      </w:r>
    </w:p>
  </w:endnote>
  <w:endnote w:type="continuationSeparator" w:id="0">
    <w:p w:rsidR="00552C95" w:rsidRDefault="00552C95" w:rsidP="006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95" w:rsidRDefault="00552C95" w:rsidP="0069628F">
      <w:pPr>
        <w:spacing w:after="0" w:line="240" w:lineRule="auto"/>
      </w:pPr>
      <w:r>
        <w:separator/>
      </w:r>
    </w:p>
  </w:footnote>
  <w:footnote w:type="continuationSeparator" w:id="0">
    <w:p w:rsidR="00552C95" w:rsidRDefault="00552C95" w:rsidP="0069628F">
      <w:pPr>
        <w:spacing w:after="0" w:line="240" w:lineRule="auto"/>
      </w:pPr>
      <w:r>
        <w:continuationSeparator/>
      </w:r>
    </w:p>
  </w:footnote>
  <w:footnote w:id="1">
    <w:p w:rsidR="0069628F" w:rsidRDefault="0069628F" w:rsidP="0069628F">
      <w:pPr>
        <w:pStyle w:val="Tekstprzypisudolnego"/>
      </w:pPr>
      <w:r w:rsidRPr="00C44C8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8B5566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formalnych są odrzucane na etapie oceny formalnej.</w:t>
      </w:r>
    </w:p>
  </w:footnote>
  <w:footnote w:id="2">
    <w:p w:rsidR="0069628F" w:rsidRPr="00D41CE9" w:rsidRDefault="0069628F" w:rsidP="0069628F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6F4311" w:rsidRPr="008321BB" w:rsidRDefault="006F4311" w:rsidP="006F431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</w:rPr>
        <w:t xml:space="preserve">Do przeliczenia ww. kwoty na PLN należy stosować miesięczny obrachunkowy kurs wymiany stosowany przez KE aktualny na dzień ogłoszenia </w:t>
      </w:r>
      <w:r>
        <w:rPr>
          <w:rFonts w:cs="Arial"/>
          <w:sz w:val="16"/>
          <w:szCs w:val="16"/>
        </w:rPr>
        <w:t>konkursu</w:t>
      </w:r>
      <w:r w:rsidRPr="00CF55D0">
        <w:rPr>
          <w:rFonts w:cs="Arial"/>
          <w:sz w:val="16"/>
          <w:szCs w:val="16"/>
        </w:rPr>
        <w:t>.</w:t>
      </w:r>
    </w:p>
  </w:footnote>
  <w:footnote w:id="4">
    <w:p w:rsidR="006F4311" w:rsidRPr="008321BB" w:rsidRDefault="006F4311" w:rsidP="006F431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</w:rPr>
        <w:t xml:space="preserve">Do przeliczenia ww. kwoty na PLN należy stosować miesięczny obrachunkowy kurs wymiany stosowany przez KE aktualny na dzień ogłoszenia </w:t>
      </w:r>
      <w:r>
        <w:rPr>
          <w:rFonts w:cs="Arial"/>
          <w:sz w:val="16"/>
          <w:szCs w:val="16"/>
        </w:rPr>
        <w:t>konkursu</w:t>
      </w:r>
      <w:r w:rsidRPr="00CF55D0">
        <w:rPr>
          <w:rFonts w:cs="Arial"/>
          <w:sz w:val="16"/>
          <w:szCs w:val="16"/>
        </w:rPr>
        <w:t>.</w:t>
      </w:r>
    </w:p>
  </w:footnote>
  <w:footnote w:id="5">
    <w:p w:rsidR="006F4311" w:rsidRPr="00D763E7" w:rsidRDefault="006F4311" w:rsidP="006F4311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763E7">
        <w:rPr>
          <w:rFonts w:ascii="Times New Roman" w:hAnsi="Times New Roman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D763E7">
        <w:rPr>
          <w:rFonts w:ascii="Times New Roman" w:hAnsi="Times New Roman"/>
          <w:bCs/>
          <w:sz w:val="16"/>
          <w:szCs w:val="16"/>
        </w:rPr>
        <w:t>osiągniętych w ostatnim zatwierdzonym roku</w:t>
      </w:r>
      <w:r w:rsidRPr="00D763E7"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  <w:r w:rsidRPr="00D763E7">
        <w:rPr>
          <w:rFonts w:ascii="Times New Roman" w:hAnsi="Times New Roman"/>
          <w:bCs/>
          <w:sz w:val="16"/>
          <w:szCs w:val="16"/>
        </w:rPr>
        <w:t xml:space="preserve">przez danego wnioskodawcę/ partnera </w:t>
      </w:r>
      <w:r w:rsidRPr="00D763E7">
        <w:rPr>
          <w:rFonts w:ascii="Times New Roman" w:hAnsi="Times New Roman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</w:t>
      </w:r>
      <w:r w:rsidRPr="00317906">
        <w:rPr>
          <w:rFonts w:ascii="Times New Roman" w:hAnsi="Times New Roman"/>
          <w:sz w:val="16"/>
          <w:szCs w:val="16"/>
        </w:rPr>
        <w:t>publicznych (lider</w:t>
      </w:r>
      <w:r w:rsidRPr="006B59EB">
        <w:rPr>
          <w:rFonts w:ascii="Times New Roman" w:hAnsi="Times New Roman"/>
          <w:sz w:val="16"/>
          <w:szCs w:val="16"/>
        </w:rPr>
        <w:t>)</w:t>
      </w:r>
      <w:r w:rsidRPr="00D763E7">
        <w:rPr>
          <w:rFonts w:ascii="Times New Roman" w:hAnsi="Times New Roman"/>
          <w:sz w:val="16"/>
          <w:szCs w:val="16"/>
        </w:rPr>
        <w:t xml:space="preserve">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D763E7">
        <w:rPr>
          <w:rFonts w:ascii="Times New Roman" w:hAnsi="Times New Roman"/>
          <w:bCs/>
          <w:sz w:val="16"/>
          <w:szCs w:val="16"/>
        </w:rPr>
        <w:t>lub poręczeń </w:t>
      </w:r>
      <w:r w:rsidRPr="00D763E7">
        <w:rPr>
          <w:rFonts w:ascii="Times New Roman" w:hAnsi="Times New Roman"/>
          <w:sz w:val="16"/>
          <w:szCs w:val="16"/>
        </w:rPr>
        <w:t xml:space="preserve">jako obrót należy rozumieć kwotę kapitału pożyczkowego i poręczeniowego, jakim dysponowali </w:t>
      </w:r>
      <w:r w:rsidRPr="00D763E7">
        <w:rPr>
          <w:rFonts w:ascii="Times New Roman" w:hAnsi="Times New Roman"/>
          <w:bCs/>
          <w:sz w:val="16"/>
          <w:szCs w:val="16"/>
        </w:rPr>
        <w:t>wnioskodawca</w:t>
      </w:r>
      <w:r w:rsidRPr="00D763E7">
        <w:rPr>
          <w:rFonts w:ascii="Times New Roman" w:hAnsi="Times New Roman"/>
          <w:sz w:val="16"/>
          <w:szCs w:val="16"/>
        </w:rPr>
        <w:t>/ partnerzy (o ile dotyczy) w poprzednim zamkniętym i zatwierdzonym roku obrotowym.</w:t>
      </w:r>
    </w:p>
  </w:footnote>
  <w:footnote w:id="6">
    <w:p w:rsidR="006F4311" w:rsidRPr="00D763E7" w:rsidRDefault="006F4311" w:rsidP="006F4311">
      <w:pPr>
        <w:rPr>
          <w:rFonts w:ascii="Times New Roman" w:hAnsi="Times New Roman"/>
          <w:sz w:val="16"/>
          <w:szCs w:val="16"/>
        </w:rPr>
      </w:pPr>
      <w:r w:rsidRPr="00D763E7">
        <w:rPr>
          <w:rStyle w:val="Odwoanieprzypisudolnego"/>
          <w:rFonts w:ascii="Times New Roman" w:hAnsi="Times New Roman"/>
        </w:rPr>
        <w:footnoteRef/>
      </w:r>
      <w:r w:rsidRPr="00D763E7">
        <w:rPr>
          <w:rFonts w:ascii="Times New Roman" w:hAnsi="Times New Roman"/>
        </w:rPr>
        <w:t xml:space="preserve"> </w:t>
      </w:r>
      <w:r w:rsidRPr="00D763E7">
        <w:rPr>
          <w:rFonts w:ascii="Times New Roman" w:hAnsi="Times New Roman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  <w:footnote w:id="7">
    <w:p w:rsidR="0069628F" w:rsidRPr="00D41CE9" w:rsidRDefault="0069628F" w:rsidP="0069628F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Kryteria dopuszczające szczególne będą określane zgodnie z ich brzmieniem przyjętym w uchwale Komitetu Monitorującego dla danego </w:t>
      </w:r>
      <w:r>
        <w:rPr>
          <w:sz w:val="16"/>
          <w:szCs w:val="16"/>
        </w:rPr>
        <w:t>konkursu</w:t>
      </w:r>
    </w:p>
  </w:footnote>
  <w:footnote w:id="8">
    <w:p w:rsidR="0069628F" w:rsidRPr="00D41CE9" w:rsidRDefault="0069628F" w:rsidP="0069628F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</w:t>
      </w:r>
      <w:r w:rsidRPr="00A562B9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dopuszczających szczególnych są odrzucane na etapie oceny formalnej</w:t>
      </w:r>
      <w:r w:rsidRPr="00D41CE9">
        <w:rPr>
          <w:sz w:val="16"/>
          <w:szCs w:val="16"/>
        </w:rPr>
        <w:t xml:space="preserve">. </w:t>
      </w:r>
    </w:p>
  </w:footnote>
  <w:footnote w:id="9">
    <w:p w:rsidR="0069628F" w:rsidRDefault="0069628F" w:rsidP="0069628F">
      <w:pPr>
        <w:pStyle w:val="Tekstprzypisudolnego"/>
      </w:pPr>
      <w:r w:rsidRPr="00B55450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665"/>
    <w:multiLevelType w:val="hybridMultilevel"/>
    <w:tmpl w:val="B206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207C0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051F"/>
    <w:multiLevelType w:val="hybridMultilevel"/>
    <w:tmpl w:val="3D322F1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38EA"/>
    <w:multiLevelType w:val="hybridMultilevel"/>
    <w:tmpl w:val="2C483E0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31F8E"/>
    <w:multiLevelType w:val="hybridMultilevel"/>
    <w:tmpl w:val="92C8858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A0E95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E57C2"/>
    <w:multiLevelType w:val="hybridMultilevel"/>
    <w:tmpl w:val="C72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F"/>
    <w:rsid w:val="00123D4D"/>
    <w:rsid w:val="00125801"/>
    <w:rsid w:val="00154444"/>
    <w:rsid w:val="001E7EBD"/>
    <w:rsid w:val="001F3634"/>
    <w:rsid w:val="00272648"/>
    <w:rsid w:val="002D7579"/>
    <w:rsid w:val="002E1336"/>
    <w:rsid w:val="00320E68"/>
    <w:rsid w:val="00323622"/>
    <w:rsid w:val="00330048"/>
    <w:rsid w:val="003C06AE"/>
    <w:rsid w:val="004C16FA"/>
    <w:rsid w:val="00552C95"/>
    <w:rsid w:val="0059735B"/>
    <w:rsid w:val="00633682"/>
    <w:rsid w:val="0069628F"/>
    <w:rsid w:val="006F4311"/>
    <w:rsid w:val="007B7D84"/>
    <w:rsid w:val="00861FC9"/>
    <w:rsid w:val="00955859"/>
    <w:rsid w:val="00990B5E"/>
    <w:rsid w:val="009E295B"/>
    <w:rsid w:val="00A96AF7"/>
    <w:rsid w:val="00AD784E"/>
    <w:rsid w:val="00B17FE1"/>
    <w:rsid w:val="00B60484"/>
    <w:rsid w:val="00C81077"/>
    <w:rsid w:val="00D071D8"/>
    <w:rsid w:val="00D20921"/>
    <w:rsid w:val="00D765D9"/>
    <w:rsid w:val="00DF74E3"/>
    <w:rsid w:val="00EC48F6"/>
    <w:rsid w:val="00FB01A7"/>
    <w:rsid w:val="00FC3B48"/>
    <w:rsid w:val="00FD609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571B-D88D-49F0-850A-1BBDED55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Elwira Misiewicz</cp:lastModifiedBy>
  <cp:revision>49</cp:revision>
  <cp:lastPrinted>2016-03-23T10:20:00Z</cp:lastPrinted>
  <dcterms:created xsi:type="dcterms:W3CDTF">2016-03-23T09:28:00Z</dcterms:created>
  <dcterms:modified xsi:type="dcterms:W3CDTF">2016-06-21T12:39:00Z</dcterms:modified>
</cp:coreProperties>
</file>